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/>
        </w:rPr>
        <w:pict>
          <v:shape id="_x0000_s2051" o:spid="_x0000_s2051" o:spt="136" type="#_x0000_t136" style="position:absolute;left:0pt;margin-left:12.5pt;margin-top:11.1pt;height:81.45pt;width:391.45pt;z-index:251660288;mso-width-relative:page;mso-height-relative:page;" fillcolor="#FF0000" filled="t" stroked="f" coordsize="21600,21600" adj="10800">
            <v:path/>
            <v:fill on="t" color2="#FFFFFF" focussize="0,0"/>
            <v:stroke on="f"/>
            <v:imagedata o:title=""/>
            <o:lock v:ext="edit" aspectratio="f"/>
            <v:textpath on="t" fitshape="t" fitpath="t" trim="t" xscale="f" string="滕州市人民政府文件" style="font-family:华文中宋;font-size:36pt;font-weight:bold;v-text-align:center;"/>
          </v:shape>
        </w:pic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hAnsi="华文中宋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hAnsi="华文中宋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hAnsi="华文中宋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滕政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字</w:t>
      </w:r>
      <w:r>
        <w:rPr>
          <w:rFonts w:hint="eastAsia" w:ascii="仿宋_GB2312" w:hAnsi="华文中宋" w:eastAsia="仿宋_GB2312"/>
          <w:sz w:val="32"/>
          <w:szCs w:val="32"/>
        </w:rPr>
        <w:t>〔20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华文中宋" w:eastAsia="仿宋_GB2312"/>
          <w:sz w:val="32"/>
          <w:szCs w:val="32"/>
        </w:rPr>
        <w:t>〕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65</w:t>
      </w:r>
      <w:r>
        <w:rPr>
          <w:rFonts w:hint="eastAsia" w:ascii="仿宋_GB2312" w:hAnsi="华文中宋" w:eastAsia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181610</wp:posOffset>
                </wp:positionH>
                <wp:positionV relativeFrom="paragraph">
                  <wp:posOffset>218440</wp:posOffset>
                </wp:positionV>
                <wp:extent cx="5143500" cy="635"/>
                <wp:effectExtent l="0" t="13970" r="7620" b="158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83970" y="3328035"/>
                          <a:ext cx="5143500" cy="6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.3pt;margin-top:17.2pt;height:0.05pt;width:405pt;z-index:251659264;mso-width-relative:page;mso-height-relative:page;" filled="f" stroked="t" coordsize="21600,21600" o:gfxdata="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Kr8thXWAAAACAEAAA8AAAAAAAAAAQAgAAAA&#10;IgAAAGRycy9kb3ducmV2LnhtbFBLAQIUABQAAAAIAIdO4kBX7Gs/DQIAAAEEAAAOAAAAAAAAAAEA&#10;IAAAACUBAABkcnMvZTJvRG9jLnhtbFBLBQYAAAAABgAGAFkBAACkBQAAAAA=&#10;">
                <v:path arrowok="t"/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napToGrid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color w:val="000000"/>
          <w:kern w:val="0"/>
          <w:sz w:val="44"/>
          <w:szCs w:val="44"/>
          <w:lang w:eastAsia="zh-CN"/>
        </w:rPr>
        <w:t>滕州市人民政府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napToGrid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color w:val="000000"/>
          <w:kern w:val="0"/>
          <w:sz w:val="44"/>
          <w:szCs w:val="44"/>
          <w:lang w:eastAsia="zh-CN"/>
        </w:rPr>
        <w:t>关于进一步优化老年人优待政策的通知</w:t>
      </w:r>
    </w:p>
    <w:p>
      <w:pPr>
        <w:pStyle w:val="2"/>
        <w:spacing w:before="101" w:line="559" w:lineRule="exact"/>
        <w:ind w:left="25"/>
        <w:rPr>
          <w:spacing w:val="9"/>
          <w:position w:val="18"/>
        </w:rPr>
      </w:pPr>
      <w:bookmarkStart w:id="0" w:name="_GoBack"/>
      <w:bookmarkEnd w:id="0"/>
    </w:p>
    <w:p>
      <w:pPr>
        <w:pStyle w:val="2"/>
        <w:spacing w:before="101" w:line="559" w:lineRule="exact"/>
        <w:ind w:left="25"/>
      </w:pPr>
      <w:r>
        <w:rPr>
          <w:spacing w:val="9"/>
          <w:position w:val="18"/>
        </w:rPr>
        <w:t>各镇人民政府、街道办事处，滕州经济开发区管委会</w:t>
      </w:r>
      <w:r>
        <w:rPr>
          <w:spacing w:val="8"/>
          <w:position w:val="18"/>
        </w:rPr>
        <w:t>，市政</w:t>
      </w:r>
    </w:p>
    <w:p>
      <w:pPr>
        <w:pStyle w:val="2"/>
        <w:spacing w:line="221" w:lineRule="auto"/>
        <w:ind w:left="29"/>
      </w:pPr>
      <w:r>
        <w:rPr>
          <w:spacing w:val="7"/>
        </w:rPr>
        <w:t>府各部门，各企事业单位：</w:t>
      </w:r>
    </w:p>
    <w:p>
      <w:pPr>
        <w:pStyle w:val="2"/>
        <w:spacing w:before="187" w:line="334" w:lineRule="auto"/>
        <w:ind w:left="18" w:right="95" w:firstLine="651"/>
      </w:pPr>
      <w:r>
        <w:rPr>
          <w:spacing w:val="8"/>
        </w:rPr>
        <w:t>为认真贯彻落实《山东省人民政府关于进一步优化老年</w:t>
      </w:r>
      <w:r>
        <w:rPr>
          <w:spacing w:val="14"/>
        </w:rPr>
        <w:t xml:space="preserve"> </w:t>
      </w:r>
      <w:r>
        <w:rPr>
          <w:spacing w:val="7"/>
        </w:rPr>
        <w:t>人优待政策的通知》（鲁政字〔2020〕240</w:t>
      </w:r>
      <w:r>
        <w:rPr>
          <w:spacing w:val="-30"/>
        </w:rPr>
        <w:t xml:space="preserve"> </w:t>
      </w:r>
      <w:r>
        <w:rPr>
          <w:spacing w:val="7"/>
        </w:rPr>
        <w:t>号）和《枣庄市</w:t>
      </w:r>
      <w:r>
        <w:t xml:space="preserve"> </w:t>
      </w:r>
      <w:r>
        <w:rPr>
          <w:spacing w:val="9"/>
        </w:rPr>
        <w:t>人民政府关于进一步优化老年人优待政策的通知》（枣政字</w:t>
      </w:r>
      <w:r>
        <w:rPr>
          <w:spacing w:val="6"/>
        </w:rPr>
        <w:t xml:space="preserve"> </w:t>
      </w:r>
      <w:r>
        <w:rPr>
          <w:spacing w:val="4"/>
        </w:rPr>
        <w:t>〔2020〕22</w:t>
      </w:r>
      <w:r>
        <w:rPr>
          <w:spacing w:val="-31"/>
        </w:rPr>
        <w:t xml:space="preserve"> </w:t>
      </w:r>
      <w:r>
        <w:rPr>
          <w:spacing w:val="4"/>
        </w:rPr>
        <w:t>号）精神，结合我市实际，现就进一步优化老年</w:t>
      </w:r>
    </w:p>
    <w:p>
      <w:pPr>
        <w:pStyle w:val="2"/>
        <w:spacing w:before="1" w:line="221" w:lineRule="auto"/>
        <w:ind w:left="29"/>
      </w:pPr>
      <w:r>
        <w:rPr>
          <w:spacing w:val="7"/>
        </w:rPr>
        <w:t>人优待政策通知如下：</w:t>
      </w:r>
    </w:p>
    <w:p>
      <w:pPr>
        <w:spacing w:before="185" w:line="228" w:lineRule="auto"/>
        <w:ind w:left="66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一、优待对象</w:t>
      </w:r>
    </w:p>
    <w:p>
      <w:pPr>
        <w:pStyle w:val="2"/>
        <w:spacing w:before="178" w:line="562" w:lineRule="exact"/>
        <w:ind w:left="677"/>
      </w:pPr>
      <w:r>
        <w:rPr>
          <w:spacing w:val="1"/>
          <w:position w:val="18"/>
        </w:rPr>
        <w:t>我市及市外来滕的</w:t>
      </w:r>
      <w:r>
        <w:rPr>
          <w:spacing w:val="-36"/>
          <w:position w:val="18"/>
        </w:rPr>
        <w:t xml:space="preserve"> </w:t>
      </w:r>
      <w:r>
        <w:rPr>
          <w:spacing w:val="1"/>
          <w:position w:val="18"/>
        </w:rPr>
        <w:t>60</w:t>
      </w:r>
      <w:r>
        <w:rPr>
          <w:spacing w:val="-61"/>
          <w:position w:val="18"/>
        </w:rPr>
        <w:t xml:space="preserve"> </w:t>
      </w:r>
      <w:r>
        <w:rPr>
          <w:spacing w:val="1"/>
          <w:position w:val="18"/>
        </w:rPr>
        <w:t>周岁（含</w:t>
      </w:r>
      <w:r>
        <w:rPr>
          <w:spacing w:val="-48"/>
          <w:position w:val="18"/>
        </w:rPr>
        <w:t xml:space="preserve"> </w:t>
      </w:r>
      <w:r>
        <w:rPr>
          <w:spacing w:val="1"/>
          <w:position w:val="18"/>
        </w:rPr>
        <w:t>60</w:t>
      </w:r>
      <w:r>
        <w:rPr>
          <w:spacing w:val="-61"/>
          <w:position w:val="18"/>
        </w:rPr>
        <w:t xml:space="preserve"> </w:t>
      </w:r>
      <w:r>
        <w:rPr>
          <w:spacing w:val="1"/>
          <w:position w:val="18"/>
        </w:rPr>
        <w:t>周岁）</w:t>
      </w:r>
      <w:r>
        <w:rPr>
          <w:spacing w:val="-87"/>
          <w:position w:val="18"/>
        </w:rPr>
        <w:t xml:space="preserve"> </w:t>
      </w:r>
      <w:r>
        <w:rPr>
          <w:spacing w:val="1"/>
          <w:position w:val="18"/>
        </w:rPr>
        <w:t>以上老年人，</w:t>
      </w:r>
    </w:p>
    <w:p>
      <w:pPr>
        <w:pStyle w:val="2"/>
        <w:spacing w:line="221" w:lineRule="auto"/>
        <w:ind w:left="32"/>
      </w:pPr>
      <w:r>
        <w:rPr>
          <w:spacing w:val="9"/>
        </w:rPr>
        <w:t>不分国籍、不分地域，一律享受本通知规定</w:t>
      </w:r>
      <w:r>
        <w:rPr>
          <w:spacing w:val="8"/>
        </w:rPr>
        <w:t>的优待政策。</w:t>
      </w:r>
    </w:p>
    <w:p>
      <w:pPr>
        <w:spacing w:before="187" w:line="226" w:lineRule="auto"/>
        <w:ind w:left="66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二、优待方式</w:t>
      </w:r>
    </w:p>
    <w:p>
      <w:pPr>
        <w:pStyle w:val="2"/>
        <w:spacing w:before="180" w:line="562" w:lineRule="exact"/>
        <w:ind w:left="660"/>
      </w:pPr>
      <w:r>
        <w:rPr>
          <w:spacing w:val="8"/>
          <w:position w:val="18"/>
        </w:rPr>
        <w:t>老年人凭居民身份证、老年人电子优待证（</w:t>
      </w:r>
      <w:r>
        <w:rPr>
          <w:spacing w:val="7"/>
          <w:position w:val="18"/>
        </w:rPr>
        <w:t>2021</w:t>
      </w:r>
      <w:r>
        <w:rPr>
          <w:spacing w:val="-56"/>
          <w:position w:val="18"/>
        </w:rPr>
        <w:t xml:space="preserve"> </w:t>
      </w:r>
      <w:r>
        <w:rPr>
          <w:spacing w:val="7"/>
          <w:position w:val="18"/>
        </w:rPr>
        <w:t>年推</w:t>
      </w:r>
    </w:p>
    <w:p>
      <w:pPr>
        <w:pStyle w:val="2"/>
        <w:spacing w:line="221" w:lineRule="auto"/>
        <w:jc w:val="right"/>
      </w:pPr>
      <w:r>
        <w:t>行）、港澳居民来往内地通行证、台湾居民来往大陆通行证、</w:t>
      </w:r>
    </w:p>
    <w:p>
      <w:pPr>
        <w:spacing w:line="221" w:lineRule="auto"/>
        <w:sectPr>
          <w:footerReference r:id="rId5" w:type="default"/>
          <w:pgSz w:w="11906" w:h="16839"/>
          <w:pgMar w:top="1327" w:right="1704" w:bottom="1148" w:left="1785" w:header="0" w:footer="960" w:gutter="0"/>
          <w:cols w:space="720" w:num="1"/>
        </w:sectPr>
      </w:pPr>
    </w:p>
    <w:p>
      <w:pPr>
        <w:pStyle w:val="2"/>
        <w:spacing w:before="185" w:line="560" w:lineRule="exact"/>
        <w:ind w:left="40"/>
      </w:pPr>
      <w:r>
        <w:rPr>
          <w:spacing w:val="8"/>
          <w:position w:val="18"/>
        </w:rPr>
        <w:t>护照和各省（自治区、直辖市）颁发的老年人优待证中任何</w:t>
      </w:r>
    </w:p>
    <w:p>
      <w:pPr>
        <w:pStyle w:val="2"/>
        <w:spacing w:line="221" w:lineRule="auto"/>
        <w:ind w:left="46"/>
      </w:pPr>
      <w:r>
        <w:rPr>
          <w:spacing w:val="8"/>
        </w:rPr>
        <w:t>一种有效证件，均可享受本通知规定的老年人优待政策。</w:t>
      </w:r>
    </w:p>
    <w:p>
      <w:pPr>
        <w:spacing w:before="219" w:line="228" w:lineRule="auto"/>
        <w:ind w:left="66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三、优待内容</w:t>
      </w:r>
    </w:p>
    <w:p>
      <w:pPr>
        <w:pStyle w:val="2"/>
        <w:spacing w:before="218" w:line="600" w:lineRule="exact"/>
        <w:ind w:left="652"/>
      </w:pPr>
      <w:r>
        <w:rPr>
          <w:spacing w:val="-8"/>
          <w:position w:val="21"/>
        </w:rPr>
        <w:t>（</w:t>
      </w:r>
      <w:r>
        <w:rPr>
          <w:spacing w:val="-79"/>
          <w:position w:val="21"/>
        </w:rPr>
        <w:t xml:space="preserve"> </w:t>
      </w:r>
      <w:r>
        <w:rPr>
          <w:spacing w:val="-8"/>
          <w:position w:val="21"/>
        </w:rPr>
        <w:t>一）免费乘坐城市公共交通工具及所有</w:t>
      </w:r>
      <w:r>
        <w:rPr>
          <w:spacing w:val="-63"/>
          <w:position w:val="21"/>
        </w:rPr>
        <w:t xml:space="preserve"> </w:t>
      </w:r>
      <w:r>
        <w:rPr>
          <w:spacing w:val="-8"/>
          <w:position w:val="21"/>
        </w:rPr>
        <w:t>BRT</w:t>
      </w:r>
      <w:r>
        <w:rPr>
          <w:spacing w:val="-41"/>
          <w:position w:val="21"/>
        </w:rPr>
        <w:t xml:space="preserve"> </w:t>
      </w:r>
      <w:r>
        <w:rPr>
          <w:spacing w:val="-9"/>
          <w:position w:val="21"/>
        </w:rPr>
        <w:t>线路。（</w:t>
      </w:r>
      <w:r>
        <w:rPr>
          <w:spacing w:val="-9"/>
          <w:position w:val="2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责</w:t>
      </w:r>
    </w:p>
    <w:p>
      <w:pPr>
        <w:pStyle w:val="2"/>
        <w:spacing w:line="221" w:lineRule="auto"/>
        <w:ind w:left="31"/>
      </w:pPr>
      <w:r>
        <w:rPr>
          <w:spacing w:val="9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任单位：</w:t>
      </w:r>
      <w:r>
        <w:rPr>
          <w:spacing w:val="9"/>
        </w:rPr>
        <w:t>市交通运输局、市交通发展集团等）</w:t>
      </w:r>
    </w:p>
    <w:p>
      <w:pPr>
        <w:pStyle w:val="2"/>
        <w:spacing w:before="229" w:line="357" w:lineRule="auto"/>
        <w:ind w:left="36" w:right="97" w:firstLine="615"/>
      </w:pPr>
      <w:r>
        <w:rPr>
          <w:spacing w:val="6"/>
        </w:rPr>
        <w:t>（</w:t>
      </w:r>
      <w:r>
        <w:rPr>
          <w:spacing w:val="-75"/>
        </w:rPr>
        <w:t xml:space="preserve"> </w:t>
      </w:r>
      <w:r>
        <w:rPr>
          <w:spacing w:val="6"/>
        </w:rPr>
        <w:t>二）半价乘坐政府投资建设的国有景区内的观光车、</w:t>
      </w:r>
      <w:r>
        <w:t xml:space="preserve"> </w:t>
      </w:r>
      <w:r>
        <w:rPr>
          <w:spacing w:val="8"/>
        </w:rPr>
        <w:t>缆车等代步工具。（</w:t>
      </w:r>
      <w:r>
        <w:rPr>
          <w:spacing w:val="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责任单位：</w:t>
      </w:r>
      <w:r>
        <w:rPr>
          <w:spacing w:val="8"/>
        </w:rPr>
        <w:t>市文化和旅游局、市发展和</w:t>
      </w:r>
    </w:p>
    <w:p>
      <w:pPr>
        <w:pStyle w:val="2"/>
        <w:spacing w:before="1" w:line="222" w:lineRule="auto"/>
        <w:ind w:left="60"/>
      </w:pPr>
      <w:r>
        <w:rPr>
          <w:spacing w:val="7"/>
        </w:rPr>
        <w:t>改革局、微山湖湿地管理委员会等，各镇街）</w:t>
      </w:r>
    </w:p>
    <w:p>
      <w:pPr>
        <w:pStyle w:val="2"/>
        <w:spacing w:before="228" w:line="357" w:lineRule="auto"/>
        <w:ind w:left="53" w:right="97" w:firstLine="598"/>
      </w:pPr>
      <w:r>
        <w:rPr>
          <w:spacing w:val="9"/>
        </w:rPr>
        <w:t>（三）优先就诊、化验、检查、交费、取药，需要住院</w:t>
      </w:r>
      <w:r>
        <w:rPr>
          <w:spacing w:val="8"/>
        </w:rPr>
        <w:t xml:space="preserve"> 的，优先安排住院；市外老年人来滕旅行期间</w:t>
      </w:r>
      <w:r>
        <w:rPr>
          <w:spacing w:val="7"/>
        </w:rPr>
        <w:t>突发疾病的，</w:t>
      </w:r>
      <w:r>
        <w:t xml:space="preserve"> </w:t>
      </w:r>
      <w:r>
        <w:rPr>
          <w:spacing w:val="6"/>
        </w:rPr>
        <w:t>医疗机构提供急诊</w:t>
      </w:r>
      <w:r>
        <w:rPr>
          <w:spacing w:val="-107"/>
        </w:rPr>
        <w:t xml:space="preserve"> </w:t>
      </w:r>
      <w:r>
        <w:rPr>
          <w:spacing w:val="6"/>
        </w:rPr>
        <w:t>“绿色通道”。（</w:t>
      </w:r>
      <w:r>
        <w:rPr>
          <w:spacing w:val="6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责任单位：</w:t>
      </w:r>
      <w:r>
        <w:rPr>
          <w:spacing w:val="6"/>
        </w:rPr>
        <w:t>市卫生</w:t>
      </w:r>
      <w:r>
        <w:rPr>
          <w:spacing w:val="5"/>
        </w:rPr>
        <w:t>健康</w:t>
      </w:r>
    </w:p>
    <w:p>
      <w:pPr>
        <w:pStyle w:val="2"/>
        <w:spacing w:before="1" w:line="222" w:lineRule="auto"/>
        <w:ind w:left="31"/>
      </w:pPr>
      <w:r>
        <w:rPr>
          <w:spacing w:val="6"/>
        </w:rPr>
        <w:t>局等，各镇街）</w:t>
      </w:r>
    </w:p>
    <w:p>
      <w:pPr>
        <w:pStyle w:val="2"/>
        <w:spacing w:before="229" w:line="357" w:lineRule="auto"/>
        <w:ind w:left="31" w:right="95" w:firstLine="620"/>
      </w:pPr>
      <w:r>
        <w:rPr>
          <w:spacing w:val="9"/>
        </w:rPr>
        <w:t>（四）政府兴办或支持的公园、景点免购门票；社会力</w:t>
      </w:r>
      <w:r>
        <w:rPr>
          <w:spacing w:val="8"/>
        </w:rPr>
        <w:t xml:space="preserve"> </w:t>
      </w:r>
      <w:r>
        <w:rPr>
          <w:spacing w:val="6"/>
        </w:rPr>
        <w:t>量兴办的公园、景点，对</w:t>
      </w:r>
      <w:r>
        <w:rPr>
          <w:spacing w:val="-39"/>
        </w:rPr>
        <w:t xml:space="preserve"> </w:t>
      </w:r>
      <w:r>
        <w:rPr>
          <w:spacing w:val="6"/>
        </w:rPr>
        <w:t>65</w:t>
      </w:r>
      <w:r>
        <w:rPr>
          <w:spacing w:val="-42"/>
        </w:rPr>
        <w:t xml:space="preserve"> </w:t>
      </w:r>
      <w:r>
        <w:rPr>
          <w:spacing w:val="6"/>
        </w:rPr>
        <w:t>岁以上老年人免门票费，60—</w:t>
      </w:r>
      <w:r>
        <w:t xml:space="preserve">  </w:t>
      </w:r>
      <w:r>
        <w:rPr>
          <w:spacing w:val="4"/>
        </w:rPr>
        <w:t>64</w:t>
      </w:r>
      <w:r>
        <w:rPr>
          <w:spacing w:val="-36"/>
        </w:rPr>
        <w:t xml:space="preserve"> </w:t>
      </w:r>
      <w:r>
        <w:rPr>
          <w:spacing w:val="4"/>
        </w:rPr>
        <w:t>岁老年人实行门票半价优惠。（</w:t>
      </w:r>
      <w:r>
        <w:rPr>
          <w:spacing w:val="4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责任单位：</w:t>
      </w:r>
      <w:r>
        <w:rPr>
          <w:spacing w:val="4"/>
        </w:rPr>
        <w:t>市文化和旅游</w:t>
      </w:r>
      <w:r>
        <w:t xml:space="preserve"> </w:t>
      </w:r>
      <w:r>
        <w:rPr>
          <w:spacing w:val="7"/>
        </w:rPr>
        <w:t>局、市自然资源局、市综合行政执法局、市发</w:t>
      </w:r>
      <w:r>
        <w:rPr>
          <w:spacing w:val="6"/>
        </w:rPr>
        <w:t>展和改革局、</w:t>
      </w:r>
    </w:p>
    <w:p>
      <w:pPr>
        <w:pStyle w:val="2"/>
        <w:spacing w:line="222" w:lineRule="auto"/>
        <w:ind w:left="21"/>
      </w:pPr>
      <w:r>
        <w:rPr>
          <w:spacing w:val="9"/>
        </w:rPr>
        <w:t>微山湖湿地管理委员会等，各镇街）</w:t>
      </w:r>
    </w:p>
    <w:p>
      <w:pPr>
        <w:pStyle w:val="2"/>
        <w:spacing w:before="228" w:line="357" w:lineRule="auto"/>
        <w:ind w:left="37" w:firstLine="614"/>
      </w:pPr>
      <w:r>
        <w:t>（五）免费进入公共文化馆、图书馆、博物馆、科技馆、</w:t>
      </w:r>
      <w:r>
        <w:rPr>
          <w:spacing w:val="12"/>
        </w:rPr>
        <w:t xml:space="preserve"> </w:t>
      </w:r>
      <w:r>
        <w:rPr>
          <w:spacing w:val="8"/>
        </w:rPr>
        <w:t>美术馆、展览馆、纪念馆等场所。（</w:t>
      </w:r>
      <w:r>
        <w:rPr>
          <w:spacing w:val="8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责任单位：</w:t>
      </w:r>
      <w:r>
        <w:rPr>
          <w:spacing w:val="8"/>
        </w:rPr>
        <w:t>市文化和旅</w:t>
      </w:r>
      <w:r>
        <w:rPr>
          <w:spacing w:val="11"/>
        </w:rPr>
        <w:t xml:space="preserve"> </w:t>
      </w:r>
      <w:r>
        <w:rPr>
          <w:spacing w:val="8"/>
        </w:rPr>
        <w:t>游局、市科协、市发展和改革局、市退役军人事务局、市文</w:t>
      </w:r>
    </w:p>
    <w:p>
      <w:pPr>
        <w:pStyle w:val="2"/>
        <w:spacing w:before="1" w:line="222" w:lineRule="auto"/>
        <w:ind w:left="37"/>
      </w:pPr>
      <w:r>
        <w:rPr>
          <w:spacing w:val="7"/>
        </w:rPr>
        <w:t>化旅游发展中心等，各镇街）</w:t>
      </w:r>
    </w:p>
    <w:p>
      <w:pPr>
        <w:spacing w:line="222" w:lineRule="auto"/>
        <w:sectPr>
          <w:footerReference r:id="rId6" w:type="default"/>
          <w:pgSz w:w="11906" w:h="16839"/>
          <w:pgMar w:top="1431" w:right="1704" w:bottom="1149" w:left="1785" w:header="0" w:footer="960" w:gutter="0"/>
          <w:cols w:space="720" w:num="1"/>
        </w:sectPr>
      </w:pPr>
    </w:p>
    <w:p>
      <w:pPr>
        <w:pStyle w:val="2"/>
        <w:spacing w:before="218" w:line="357" w:lineRule="auto"/>
        <w:ind w:left="19" w:right="81" w:firstLine="632"/>
      </w:pPr>
      <w:r>
        <w:rPr>
          <w:spacing w:val="9"/>
        </w:rPr>
        <w:t>（六）按照时段免费或半价进入政府兴办或支持的公共</w:t>
      </w:r>
      <w:r>
        <w:rPr>
          <w:spacing w:val="10"/>
        </w:rPr>
        <w:t xml:space="preserve"> </w:t>
      </w:r>
      <w:r>
        <w:rPr>
          <w:spacing w:val="9"/>
        </w:rPr>
        <w:t>体育健身场所健身。（</w:t>
      </w:r>
      <w:r>
        <w:rPr>
          <w:spacing w:val="9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责任单位：</w:t>
      </w:r>
      <w:r>
        <w:rPr>
          <w:spacing w:val="9"/>
        </w:rPr>
        <w:t>市教育和体育局、市发展</w:t>
      </w:r>
    </w:p>
    <w:p>
      <w:pPr>
        <w:pStyle w:val="2"/>
        <w:spacing w:line="222" w:lineRule="auto"/>
        <w:ind w:left="34"/>
      </w:pPr>
      <w:r>
        <w:rPr>
          <w:spacing w:val="8"/>
        </w:rPr>
        <w:t>和改革局、市体育发展服务中心等，各镇街）</w:t>
      </w:r>
    </w:p>
    <w:p>
      <w:pPr>
        <w:spacing w:before="225" w:line="228" w:lineRule="auto"/>
        <w:ind w:left="67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四、保障措施</w:t>
      </w:r>
    </w:p>
    <w:p>
      <w:pPr>
        <w:pStyle w:val="2"/>
        <w:spacing w:before="219" w:line="357" w:lineRule="auto"/>
        <w:ind w:left="32" w:firstLine="619"/>
      </w:pPr>
      <w:r>
        <w:rPr>
          <w:rFonts w:ascii="楷体" w:hAnsi="楷体" w:eastAsia="楷体" w:cs="楷体"/>
          <w:spacing w:val="-3"/>
        </w:rPr>
        <w:t>（</w:t>
      </w:r>
      <w:r>
        <w:rPr>
          <w:rFonts w:ascii="楷体" w:hAnsi="楷体" w:eastAsia="楷体" w:cs="楷体"/>
          <w:spacing w:val="-82"/>
        </w:rPr>
        <w:t xml:space="preserve"> </w:t>
      </w:r>
      <w:r>
        <w:rPr>
          <w:rFonts w:ascii="楷体" w:hAnsi="楷体" w:eastAsia="楷体" w:cs="楷体"/>
          <w:spacing w:val="-3"/>
        </w:rPr>
        <w:t>一）加强组织领导。</w:t>
      </w:r>
      <w:r>
        <w:rPr>
          <w:spacing w:val="-3"/>
        </w:rPr>
        <w:t>各有关部门、各镇街要高度重视，</w:t>
      </w:r>
      <w:r>
        <w:t xml:space="preserve"> </w:t>
      </w:r>
      <w:r>
        <w:rPr>
          <w:spacing w:val="8"/>
        </w:rPr>
        <w:t>把完善老年人优待政策作为改善人民生活品质、提升民生福</w:t>
      </w:r>
      <w:r>
        <w:rPr>
          <w:spacing w:val="15"/>
        </w:rPr>
        <w:t xml:space="preserve"> </w:t>
      </w:r>
      <w:r>
        <w:rPr>
          <w:spacing w:val="8"/>
        </w:rPr>
        <w:t>祉、积极应对人口老龄化的重要举措，强化统筹协调，完善</w:t>
      </w:r>
    </w:p>
    <w:p>
      <w:pPr>
        <w:pStyle w:val="2"/>
        <w:spacing w:line="221" w:lineRule="auto"/>
        <w:ind w:left="40"/>
      </w:pPr>
      <w:r>
        <w:rPr>
          <w:spacing w:val="7"/>
        </w:rPr>
        <w:t>配套措施，确保各项优待政策落实到位。</w:t>
      </w:r>
    </w:p>
    <w:p>
      <w:pPr>
        <w:pStyle w:val="2"/>
        <w:spacing w:before="235" w:line="357" w:lineRule="auto"/>
        <w:ind w:left="19" w:right="81" w:firstLine="632"/>
      </w:pPr>
      <w:r>
        <w:rPr>
          <w:rFonts w:ascii="楷体" w:hAnsi="楷体" w:eastAsia="楷体" w:cs="楷体"/>
          <w:spacing w:val="6"/>
        </w:rPr>
        <w:t>（</w:t>
      </w:r>
      <w:r>
        <w:rPr>
          <w:rFonts w:ascii="楷体" w:hAnsi="楷体" w:eastAsia="楷体" w:cs="楷体"/>
          <w:spacing w:val="-75"/>
        </w:rPr>
        <w:t xml:space="preserve"> </w:t>
      </w:r>
      <w:r>
        <w:rPr>
          <w:rFonts w:ascii="楷体" w:hAnsi="楷体" w:eastAsia="楷体" w:cs="楷体"/>
          <w:spacing w:val="6"/>
        </w:rPr>
        <w:t>二）压实工作责任。</w:t>
      </w:r>
      <w:r>
        <w:rPr>
          <w:spacing w:val="6"/>
        </w:rPr>
        <w:t>各有关部门、各镇街要切实承担</w:t>
      </w:r>
      <w:r>
        <w:t xml:space="preserve"> </w:t>
      </w:r>
      <w:r>
        <w:rPr>
          <w:spacing w:val="9"/>
        </w:rPr>
        <w:t>主体责任，确保老年人优待政策不折不扣落实到位。市卫生</w:t>
      </w:r>
      <w:r>
        <w:rPr>
          <w:spacing w:val="6"/>
        </w:rPr>
        <w:t xml:space="preserve"> </w:t>
      </w:r>
      <w:r>
        <w:rPr>
          <w:spacing w:val="9"/>
        </w:rPr>
        <w:t>健康局要发挥好指导作用，市委市政府督办中心要强化督促</w:t>
      </w:r>
      <w:r>
        <w:rPr>
          <w:spacing w:val="3"/>
        </w:rPr>
        <w:t xml:space="preserve"> </w:t>
      </w:r>
      <w:r>
        <w:rPr>
          <w:spacing w:val="9"/>
        </w:rPr>
        <w:t>指导，微山湖湿地管理委员会、市发展和改革局、市教育和</w:t>
      </w:r>
      <w:r>
        <w:rPr>
          <w:spacing w:val="3"/>
        </w:rPr>
        <w:t xml:space="preserve"> </w:t>
      </w:r>
      <w:r>
        <w:rPr>
          <w:spacing w:val="9"/>
        </w:rPr>
        <w:t>体育局、市自然资源局、市交通运输局、市文化和旅游局、</w:t>
      </w:r>
      <w:r>
        <w:rPr>
          <w:spacing w:val="6"/>
        </w:rPr>
        <w:t xml:space="preserve"> </w:t>
      </w:r>
      <w:r>
        <w:rPr>
          <w:spacing w:val="9"/>
        </w:rPr>
        <w:t>市退役军人事务局、市综合行政执法局、市科协、市体育发</w:t>
      </w:r>
      <w:r>
        <w:rPr>
          <w:spacing w:val="3"/>
        </w:rPr>
        <w:t xml:space="preserve"> </w:t>
      </w:r>
      <w:r>
        <w:rPr>
          <w:spacing w:val="9"/>
        </w:rPr>
        <w:t>展服务中心、市文化旅游发展中心、市交通发展集团要按照</w:t>
      </w:r>
      <w:r>
        <w:rPr>
          <w:spacing w:val="3"/>
        </w:rPr>
        <w:t xml:space="preserve"> </w:t>
      </w:r>
      <w:r>
        <w:rPr>
          <w:spacing w:val="9"/>
        </w:rPr>
        <w:t>职责分别抓好优待政策落实。微山湖湿地管理委员会、市教</w:t>
      </w:r>
      <w:r>
        <w:rPr>
          <w:spacing w:val="3"/>
        </w:rPr>
        <w:t xml:space="preserve"> </w:t>
      </w:r>
      <w:r>
        <w:rPr>
          <w:spacing w:val="9"/>
        </w:rPr>
        <w:t>育和体育局、市交通运输局、市文化和旅游局、市体育发展</w:t>
      </w:r>
      <w:r>
        <w:rPr>
          <w:spacing w:val="3"/>
        </w:rPr>
        <w:t xml:space="preserve"> </w:t>
      </w:r>
      <w:r>
        <w:rPr>
          <w:spacing w:val="9"/>
        </w:rPr>
        <w:t>服务中心、市交通发展集团等部门要细化优待标准，明确老</w:t>
      </w:r>
      <w:r>
        <w:rPr>
          <w:spacing w:val="6"/>
        </w:rPr>
        <w:t xml:space="preserve"> </w:t>
      </w:r>
      <w:r>
        <w:rPr>
          <w:spacing w:val="9"/>
        </w:rPr>
        <w:t>年人免费乘坐的公共交通线路、享受门票减免政策的景区、</w:t>
      </w:r>
      <w:r>
        <w:rPr>
          <w:spacing w:val="6"/>
        </w:rPr>
        <w:t xml:space="preserve"> </w:t>
      </w:r>
      <w:r>
        <w:rPr>
          <w:spacing w:val="9"/>
        </w:rPr>
        <w:t>享受观光车缆车等代步工具半价的景区、享受免费或半价的</w:t>
      </w:r>
      <w:r>
        <w:rPr>
          <w:spacing w:val="3"/>
        </w:rPr>
        <w:t xml:space="preserve"> </w:t>
      </w:r>
      <w:r>
        <w:rPr>
          <w:spacing w:val="9"/>
        </w:rPr>
        <w:t>公共体育健身场所，并在官方网站和景区、场馆入口等处向</w:t>
      </w:r>
    </w:p>
    <w:p>
      <w:pPr>
        <w:pStyle w:val="2"/>
        <w:spacing w:before="1" w:line="220" w:lineRule="auto"/>
        <w:ind w:left="32"/>
      </w:pPr>
      <w:r>
        <w:rPr>
          <w:spacing w:val="4"/>
        </w:rPr>
        <w:t>社会公布。</w:t>
      </w:r>
    </w:p>
    <w:p>
      <w:pPr>
        <w:spacing w:line="220" w:lineRule="auto"/>
        <w:sectPr>
          <w:footerReference r:id="rId7" w:type="default"/>
          <w:pgSz w:w="11906" w:h="16839"/>
          <w:pgMar w:top="1431" w:right="1718" w:bottom="1149" w:left="1785" w:header="0" w:footer="960" w:gutter="0"/>
          <w:cols w:space="720" w:num="1"/>
        </w:sectPr>
      </w:pPr>
    </w:p>
    <w:p>
      <w:pPr>
        <w:pStyle w:val="2"/>
        <w:spacing w:before="218" w:line="357" w:lineRule="auto"/>
        <w:ind w:left="36" w:right="81" w:firstLine="615"/>
        <w:jc w:val="both"/>
      </w:pPr>
      <w:r>
        <w:rPr>
          <w:rFonts w:ascii="楷体" w:hAnsi="楷体" w:eastAsia="楷体" w:cs="楷体"/>
          <w:spacing w:val="9"/>
        </w:rPr>
        <w:t>（三）加大经费投入。</w:t>
      </w:r>
      <w:r>
        <w:rPr>
          <w:spacing w:val="9"/>
        </w:rPr>
        <w:t>市财政局、各镇街要做好有关经</w:t>
      </w:r>
      <w:r>
        <w:rPr>
          <w:spacing w:val="11"/>
        </w:rPr>
        <w:t xml:space="preserve"> </w:t>
      </w:r>
      <w:r>
        <w:rPr>
          <w:spacing w:val="8"/>
        </w:rPr>
        <w:t>费保障工作，并根据免费乘坐城市公共交通工具政策调整情</w:t>
      </w:r>
      <w:r>
        <w:rPr>
          <w:spacing w:val="12"/>
        </w:rPr>
        <w:t xml:space="preserve"> </w:t>
      </w:r>
      <w:r>
        <w:rPr>
          <w:spacing w:val="8"/>
        </w:rPr>
        <w:t>况、景点门票以及景区内的观光车、缆车等代步工具的优待</w:t>
      </w:r>
    </w:p>
    <w:p>
      <w:pPr>
        <w:pStyle w:val="2"/>
        <w:spacing w:line="222" w:lineRule="auto"/>
        <w:ind w:left="23"/>
      </w:pPr>
      <w:r>
        <w:rPr>
          <w:spacing w:val="8"/>
        </w:rPr>
        <w:t>减免情况，给予适当支持。</w:t>
      </w:r>
    </w:p>
    <w:p>
      <w:pPr>
        <w:pStyle w:val="2"/>
        <w:spacing w:before="229" w:line="357" w:lineRule="auto"/>
        <w:ind w:left="32" w:firstLine="619"/>
        <w:jc w:val="both"/>
      </w:pPr>
      <w:r>
        <w:rPr>
          <w:rFonts w:ascii="楷体" w:hAnsi="楷体" w:eastAsia="楷体" w:cs="楷体"/>
        </w:rPr>
        <w:t>（四）确保政策落实。</w:t>
      </w:r>
      <w:r>
        <w:t>具体承担优待服务的单位和场</w:t>
      </w:r>
      <w:r>
        <w:rPr>
          <w:spacing w:val="-1"/>
        </w:rPr>
        <w:t>所，</w:t>
      </w:r>
      <w:r>
        <w:t xml:space="preserve"> </w:t>
      </w:r>
      <w:r>
        <w:rPr>
          <w:spacing w:val="8"/>
        </w:rPr>
        <w:t>要按照惠民利民、简便易行、全市互认的原则，根据老年人</w:t>
      </w:r>
      <w:r>
        <w:rPr>
          <w:spacing w:val="15"/>
        </w:rPr>
        <w:t xml:space="preserve"> </w:t>
      </w:r>
      <w:r>
        <w:rPr>
          <w:spacing w:val="8"/>
        </w:rPr>
        <w:t>的特点，进一步优化办事流程，提高工作效率，增强为老服</w:t>
      </w:r>
      <w:r>
        <w:rPr>
          <w:spacing w:val="15"/>
        </w:rPr>
        <w:t xml:space="preserve"> </w:t>
      </w:r>
      <w:r>
        <w:rPr>
          <w:spacing w:val="8"/>
        </w:rPr>
        <w:t>务意识，提高服务质量；要在显著位置设置老年人优先、优</w:t>
      </w:r>
      <w:r>
        <w:rPr>
          <w:spacing w:val="15"/>
        </w:rPr>
        <w:t xml:space="preserve"> </w:t>
      </w:r>
      <w:r>
        <w:rPr>
          <w:spacing w:val="8"/>
        </w:rPr>
        <w:t>惠及免费的公示牌，确保老年人能够便利、快捷享受有关优</w:t>
      </w:r>
    </w:p>
    <w:p>
      <w:pPr>
        <w:pStyle w:val="2"/>
        <w:spacing w:before="1" w:line="221" w:lineRule="auto"/>
        <w:ind w:left="23"/>
      </w:pPr>
      <w:r>
        <w:rPr>
          <w:spacing w:val="4"/>
        </w:rPr>
        <w:t>待政策。</w:t>
      </w:r>
    </w:p>
    <w:p>
      <w:pPr>
        <w:pStyle w:val="2"/>
        <w:spacing w:before="228" w:line="357" w:lineRule="auto"/>
        <w:ind w:left="44" w:right="81" w:firstLine="608"/>
        <w:jc w:val="both"/>
      </w:pPr>
      <w:r>
        <w:rPr>
          <w:rFonts w:ascii="楷体" w:hAnsi="楷体" w:eastAsia="楷体" w:cs="楷体"/>
          <w:spacing w:val="9"/>
        </w:rPr>
        <w:t>（五）加强宣传引导。</w:t>
      </w:r>
      <w:r>
        <w:rPr>
          <w:spacing w:val="9"/>
        </w:rPr>
        <w:t>各相关部门、各镇街要充分利用</w:t>
      </w:r>
      <w:r>
        <w:rPr>
          <w:spacing w:val="8"/>
        </w:rPr>
        <w:t xml:space="preserve"> 宣传媒介，广泛宣传优待政策、落实措施和敬老爱老助老先</w:t>
      </w:r>
    </w:p>
    <w:p>
      <w:pPr>
        <w:pStyle w:val="2"/>
        <w:spacing w:before="1" w:line="221" w:lineRule="auto"/>
        <w:ind w:left="26"/>
      </w:pPr>
      <w:r>
        <w:rPr>
          <w:spacing w:val="8"/>
        </w:rPr>
        <w:t>进典型，营造优待老年人的良好氛围。</w:t>
      </w:r>
    </w:p>
    <w:p>
      <w:pPr>
        <w:pStyle w:val="2"/>
        <w:spacing w:before="228" w:line="221" w:lineRule="auto"/>
        <w:ind w:left="660"/>
      </w:pPr>
      <w:r>
        <w:rPr>
          <w:spacing w:val="-6"/>
        </w:rPr>
        <w:t>本通知自</w:t>
      </w:r>
      <w:r>
        <w:rPr>
          <w:spacing w:val="-42"/>
        </w:rPr>
        <w:t xml:space="preserve"> </w:t>
      </w:r>
      <w:r>
        <w:rPr>
          <w:spacing w:val="-6"/>
        </w:rPr>
        <w:t>2021</w:t>
      </w:r>
      <w:r>
        <w:rPr>
          <w:spacing w:val="-55"/>
        </w:rPr>
        <w:t xml:space="preserve"> </w:t>
      </w:r>
      <w:r>
        <w:rPr>
          <w:spacing w:val="-6"/>
        </w:rPr>
        <w:t>年</w:t>
      </w:r>
      <w:r>
        <w:rPr>
          <w:spacing w:val="-44"/>
        </w:rPr>
        <w:t xml:space="preserve"> </w:t>
      </w:r>
      <w:r>
        <w:rPr>
          <w:spacing w:val="-6"/>
        </w:rPr>
        <w:t>1</w:t>
      </w:r>
      <w:r>
        <w:rPr>
          <w:spacing w:val="-45"/>
        </w:rPr>
        <w:t xml:space="preserve"> </w:t>
      </w:r>
      <w:r>
        <w:rPr>
          <w:spacing w:val="-6"/>
        </w:rPr>
        <w:t>月</w:t>
      </w:r>
      <w:r>
        <w:rPr>
          <w:spacing w:val="-41"/>
        </w:rPr>
        <w:t xml:space="preserve"> </w:t>
      </w:r>
      <w:r>
        <w:rPr>
          <w:spacing w:val="-6"/>
        </w:rPr>
        <w:t>1 日起施行。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pStyle w:val="2"/>
        <w:spacing w:before="102" w:line="600" w:lineRule="exact"/>
        <w:ind w:right="83"/>
        <w:jc w:val="right"/>
      </w:pPr>
      <w:r>
        <w:rPr>
          <w:spacing w:val="8"/>
          <w:position w:val="21"/>
        </w:rPr>
        <w:t>滕州市人民政府</w:t>
      </w:r>
    </w:p>
    <w:p>
      <w:pPr>
        <w:pStyle w:val="2"/>
        <w:spacing w:before="1" w:line="222" w:lineRule="auto"/>
        <w:ind w:right="20"/>
        <w:jc w:val="right"/>
      </w:pPr>
      <w:r>
        <w:rPr>
          <w:spacing w:val="-8"/>
        </w:rPr>
        <w:t>2020</w:t>
      </w:r>
      <w:r>
        <w:rPr>
          <w:spacing w:val="-52"/>
        </w:rPr>
        <w:t xml:space="preserve"> </w:t>
      </w:r>
      <w:r>
        <w:rPr>
          <w:spacing w:val="-8"/>
        </w:rPr>
        <w:t>年</w:t>
      </w:r>
      <w:r>
        <w:rPr>
          <w:spacing w:val="-43"/>
        </w:rPr>
        <w:t xml:space="preserve"> </w:t>
      </w:r>
      <w:r>
        <w:rPr>
          <w:spacing w:val="-8"/>
        </w:rPr>
        <w:t>12</w:t>
      </w:r>
      <w:r>
        <w:rPr>
          <w:spacing w:val="-44"/>
        </w:rPr>
        <w:t xml:space="preserve"> </w:t>
      </w:r>
      <w:r>
        <w:rPr>
          <w:spacing w:val="-8"/>
        </w:rPr>
        <w:t>月</w:t>
      </w:r>
      <w:r>
        <w:rPr>
          <w:spacing w:val="-36"/>
        </w:rPr>
        <w:t xml:space="preserve"> </w:t>
      </w:r>
      <w:r>
        <w:rPr>
          <w:spacing w:val="-8"/>
        </w:rPr>
        <w:t>31 日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pStyle w:val="2"/>
        <w:spacing w:before="100" w:line="220" w:lineRule="auto"/>
        <w:ind w:left="18"/>
      </w:pPr>
      <w:r>
        <w:rPr>
          <w:spacing w:val="8"/>
        </w:rPr>
        <w:t>（此件公开发布）</w:t>
      </w:r>
    </w:p>
    <w:sectPr>
      <w:footerReference r:id="rId8" w:type="default"/>
      <w:pgSz w:w="11906" w:h="16839"/>
      <w:pgMar w:top="1431" w:right="1718" w:bottom="1148" w:left="1785" w:header="0" w:footer="96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AC3E0AB-79D5-4F4E-AD16-EBD1C6247F8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B2CB26F-6EF7-4F55-8C1E-0A6A3D94EF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7C1034A-C626-4BCD-887F-5B9483B76AB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5E4D5527-E656-40D7-A5D3-CE037AD42E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4010"/>
      <w:rPr>
        <w:rFonts w:ascii="Calibri" w:hAnsi="Calibri" w:eastAsia="Calibri" w:cs="Calibri"/>
        <w:sz w:val="20"/>
        <w:szCs w:val="20"/>
      </w:rPr>
    </w:pPr>
    <w:r>
      <w:rPr>
        <w:rFonts w:ascii="Calibri" w:hAnsi="Calibri" w:eastAsia="Calibri" w:cs="Calibri"/>
        <w:spacing w:val="-6"/>
        <w:sz w:val="20"/>
        <w:szCs w:val="20"/>
      </w:rPr>
      <w:t>-</w:t>
    </w:r>
    <w:r>
      <w:rPr>
        <w:rFonts w:ascii="Calibri" w:hAnsi="Calibri" w:eastAsia="Calibri" w:cs="Calibri"/>
        <w:spacing w:val="18"/>
        <w:w w:val="102"/>
        <w:sz w:val="20"/>
        <w:szCs w:val="20"/>
      </w:rPr>
      <w:t xml:space="preserve"> </w:t>
    </w:r>
    <w:r>
      <w:rPr>
        <w:rFonts w:ascii="Calibri" w:hAnsi="Calibri" w:eastAsia="Calibri" w:cs="Calibri"/>
        <w:spacing w:val="-6"/>
        <w:sz w:val="20"/>
        <w:szCs w:val="20"/>
      </w:rPr>
      <w:t>1</w:t>
    </w:r>
    <w:r>
      <w:rPr>
        <w:rFonts w:ascii="Calibri" w:hAnsi="Calibri" w:eastAsia="Calibri" w:cs="Calibri"/>
        <w:spacing w:val="9"/>
        <w:sz w:val="20"/>
        <w:szCs w:val="20"/>
      </w:rPr>
      <w:t xml:space="preserve"> </w:t>
    </w:r>
    <w:r>
      <w:rPr>
        <w:rFonts w:ascii="Calibri" w:hAnsi="Calibri" w:eastAsia="Calibri" w:cs="Calibri"/>
        <w:spacing w:val="-6"/>
        <w:sz w:val="20"/>
        <w:szCs w:val="20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010"/>
      <w:rPr>
        <w:rFonts w:ascii="Calibri" w:hAnsi="Calibri" w:eastAsia="Calibri" w:cs="Calibri"/>
        <w:sz w:val="20"/>
        <w:szCs w:val="20"/>
      </w:rPr>
    </w:pPr>
    <w:r>
      <w:rPr>
        <w:rFonts w:ascii="Calibri" w:hAnsi="Calibri" w:eastAsia="Calibri" w:cs="Calibri"/>
        <w:spacing w:val="-4"/>
        <w:sz w:val="20"/>
        <w:szCs w:val="20"/>
      </w:rPr>
      <w:t>-</w:t>
    </w:r>
    <w:r>
      <w:rPr>
        <w:rFonts w:ascii="Calibri" w:hAnsi="Calibri" w:eastAsia="Calibri" w:cs="Calibri"/>
        <w:spacing w:val="12"/>
        <w:w w:val="102"/>
        <w:sz w:val="20"/>
        <w:szCs w:val="20"/>
      </w:rPr>
      <w:t xml:space="preserve"> </w:t>
    </w:r>
    <w:r>
      <w:rPr>
        <w:rFonts w:ascii="Calibri" w:hAnsi="Calibri" w:eastAsia="Calibri" w:cs="Calibri"/>
        <w:spacing w:val="-4"/>
        <w:sz w:val="20"/>
        <w:szCs w:val="20"/>
      </w:rPr>
      <w:t>2</w:t>
    </w:r>
    <w:r>
      <w:rPr>
        <w:rFonts w:ascii="Calibri" w:hAnsi="Calibri" w:eastAsia="Calibri" w:cs="Calibri"/>
        <w:spacing w:val="9"/>
        <w:sz w:val="20"/>
        <w:szCs w:val="20"/>
      </w:rPr>
      <w:t xml:space="preserve"> </w:t>
    </w:r>
    <w:r>
      <w:rPr>
        <w:rFonts w:ascii="Calibri" w:hAnsi="Calibri" w:eastAsia="Calibri" w:cs="Calibri"/>
        <w:spacing w:val="-4"/>
        <w:sz w:val="20"/>
        <w:szCs w:val="20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010"/>
      <w:rPr>
        <w:rFonts w:ascii="Calibri" w:hAnsi="Calibri" w:eastAsia="Calibri" w:cs="Calibri"/>
        <w:sz w:val="20"/>
        <w:szCs w:val="20"/>
      </w:rPr>
    </w:pPr>
    <w:r>
      <w:rPr>
        <w:rFonts w:ascii="Calibri" w:hAnsi="Calibri" w:eastAsia="Calibri" w:cs="Calibri"/>
        <w:spacing w:val="-4"/>
        <w:sz w:val="20"/>
        <w:szCs w:val="20"/>
      </w:rPr>
      <w:t>-</w:t>
    </w:r>
    <w:r>
      <w:rPr>
        <w:rFonts w:ascii="Calibri" w:hAnsi="Calibri" w:eastAsia="Calibri" w:cs="Calibri"/>
        <w:spacing w:val="12"/>
        <w:sz w:val="20"/>
        <w:szCs w:val="20"/>
      </w:rPr>
      <w:t xml:space="preserve"> </w:t>
    </w:r>
    <w:r>
      <w:rPr>
        <w:rFonts w:ascii="Calibri" w:hAnsi="Calibri" w:eastAsia="Calibri" w:cs="Calibri"/>
        <w:spacing w:val="-4"/>
        <w:sz w:val="20"/>
        <w:szCs w:val="20"/>
      </w:rPr>
      <w:t>3</w:t>
    </w:r>
    <w:r>
      <w:rPr>
        <w:rFonts w:ascii="Calibri" w:hAnsi="Calibri" w:eastAsia="Calibri" w:cs="Calibri"/>
        <w:spacing w:val="9"/>
        <w:sz w:val="20"/>
        <w:szCs w:val="20"/>
      </w:rPr>
      <w:t xml:space="preserve"> </w:t>
    </w:r>
    <w:r>
      <w:rPr>
        <w:rFonts w:ascii="Calibri" w:hAnsi="Calibri" w:eastAsia="Calibri" w:cs="Calibri"/>
        <w:spacing w:val="-4"/>
        <w:sz w:val="20"/>
        <w:szCs w:val="20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4010"/>
      <w:rPr>
        <w:rFonts w:ascii="Calibri" w:hAnsi="Calibri" w:eastAsia="Calibri" w:cs="Calibri"/>
        <w:sz w:val="20"/>
        <w:szCs w:val="20"/>
      </w:rPr>
    </w:pPr>
    <w:r>
      <w:rPr>
        <w:rFonts w:ascii="Calibri" w:hAnsi="Calibri" w:eastAsia="Calibri" w:cs="Calibri"/>
        <w:spacing w:val="-2"/>
        <w:sz w:val="20"/>
        <w:szCs w:val="20"/>
      </w:rPr>
      <w:t>-</w:t>
    </w:r>
    <w:r>
      <w:rPr>
        <w:rFonts w:ascii="Calibri" w:hAnsi="Calibri" w:eastAsia="Calibri" w:cs="Calibri"/>
        <w:spacing w:val="6"/>
        <w:sz w:val="20"/>
        <w:szCs w:val="20"/>
      </w:rPr>
      <w:t xml:space="preserve"> </w:t>
    </w:r>
    <w:r>
      <w:rPr>
        <w:rFonts w:ascii="Calibri" w:hAnsi="Calibri" w:eastAsia="Calibri" w:cs="Calibri"/>
        <w:spacing w:val="-2"/>
        <w:sz w:val="20"/>
        <w:szCs w:val="20"/>
      </w:rPr>
      <w:t>4</w:t>
    </w:r>
    <w:r>
      <w:rPr>
        <w:rFonts w:ascii="Calibri" w:hAnsi="Calibri" w:eastAsia="Calibri" w:cs="Calibri"/>
        <w:spacing w:val="9"/>
        <w:sz w:val="20"/>
        <w:szCs w:val="20"/>
      </w:rPr>
      <w:t xml:space="preserve"> </w:t>
    </w:r>
    <w:r>
      <w:rPr>
        <w:rFonts w:ascii="Calibri" w:hAnsi="Calibri" w:eastAsia="Calibri" w:cs="Calibri"/>
        <w:spacing w:val="-2"/>
        <w:sz w:val="20"/>
        <w:szCs w:val="20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QxNDc0NjVkYTc3YmU3ZTg1OGEzMDcxZDFlNTI5MTUifQ=="/>
  </w:docVars>
  <w:rsids>
    <w:rsidRoot w:val="00000000"/>
    <w:rsid w:val="12B45E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1" textRotate="1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Office_12.1.0.15120_F1E327BC-269C-435d-A152-05C5408002CA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2021-12-17T17:58:00Z</dcterms:created>
  <dc:creator>爱新觉罗-琛</dc:creator>
  <cp:lastModifiedBy>爱新觉罗-琛</cp:lastModifiedBy>
  <dcterms:modified xsi:type="dcterms:W3CDTF">2023-09-22T06:36:26Z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2023-09-22T14:33:35Z</vt:filetime>
  </property>
  <property fmtid="{D5CDD505-2E9C-101B-9397-08002B2CF9AE}" pid="4" name="KSOProductBuildVer">
    <vt:lpwstr>2052-12.1.0.15120</vt:lpwstr>
  </property>
  <property fmtid="{D5CDD505-2E9C-101B-9397-08002B2CF9AE}" pid="5" name="ICV">
    <vt:lpwstr>9C33D766DF204472A2C0BCB296B40A52_12</vt:lpwstr>
  </property>
</Properties>
</file>